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“双有”企业环境信息公开表</w:t>
      </w:r>
      <w:bookmarkStart w:id="0" w:name="_GoBack"/>
      <w:bookmarkEnd w:id="0"/>
    </w:p>
    <w:p>
      <w:pPr>
        <w:jc w:val="center"/>
        <w:rPr>
          <w:rFonts w:hint="eastAsia"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2402"/>
        <w:gridCol w:w="1981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6739" w:type="dxa"/>
            <w:gridSpan w:val="3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江苏剑牌农化股份有限公司滨海分公司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组织机构代码</w:t>
            </w:r>
          </w:p>
        </w:tc>
        <w:tc>
          <w:tcPr>
            <w:tcW w:w="224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91320922598616693E</w:t>
            </w:r>
          </w:p>
        </w:tc>
        <w:tc>
          <w:tcPr>
            <w:tcW w:w="202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2467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张志勋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生产地址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江苏省盐城市滨海县沿海工业园中山二路北侧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生产周期</w:t>
            </w:r>
          </w:p>
        </w:tc>
        <w:tc>
          <w:tcPr>
            <w:tcW w:w="2467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7200小时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所属行业</w:t>
            </w:r>
          </w:p>
        </w:tc>
        <w:tc>
          <w:tcPr>
            <w:tcW w:w="224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C2631</w:t>
            </w:r>
          </w:p>
        </w:tc>
        <w:tc>
          <w:tcPr>
            <w:tcW w:w="202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联系人及电话</w:t>
            </w:r>
          </w:p>
        </w:tc>
        <w:tc>
          <w:tcPr>
            <w:tcW w:w="2467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蒋羊羊 18262395573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生产经营主要内容</w:t>
            </w:r>
          </w:p>
        </w:tc>
        <w:tc>
          <w:tcPr>
            <w:tcW w:w="6739" w:type="dxa"/>
            <w:gridSpan w:val="3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农药原药及副产品丙酮、盐酸、次氯酸钠溶液生产，化工产品批发，自营和代理各类商品和技术的进出口业务，太阳能光伏发电。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使用有毒有害物质</w:t>
            </w:r>
          </w:p>
        </w:tc>
        <w:tc>
          <w:tcPr>
            <w:tcW w:w="224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202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年使用量</w:t>
            </w:r>
          </w:p>
        </w:tc>
        <w:tc>
          <w:tcPr>
            <w:tcW w:w="246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4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氯气</w:t>
            </w:r>
          </w:p>
        </w:tc>
        <w:tc>
          <w:tcPr>
            <w:tcW w:w="202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4822.53吨</w:t>
            </w:r>
          </w:p>
        </w:tc>
        <w:tc>
          <w:tcPr>
            <w:tcW w:w="246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生产原料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4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硫酸二甲酯</w:t>
            </w:r>
          </w:p>
        </w:tc>
        <w:tc>
          <w:tcPr>
            <w:tcW w:w="202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1072.516吨</w:t>
            </w:r>
          </w:p>
        </w:tc>
        <w:tc>
          <w:tcPr>
            <w:tcW w:w="2467" w:type="dxa"/>
            <w:vMerge w:val="continue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排放有毒有害物质的情况</w:t>
            </w:r>
          </w:p>
        </w:tc>
        <w:tc>
          <w:tcPr>
            <w:tcW w:w="22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202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年排放量</w:t>
            </w:r>
          </w:p>
        </w:tc>
        <w:tc>
          <w:tcPr>
            <w:tcW w:w="246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排放浓度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4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二氧化硫</w:t>
            </w:r>
          </w:p>
        </w:tc>
        <w:tc>
          <w:tcPr>
            <w:tcW w:w="202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20.1571吨</w:t>
            </w:r>
          </w:p>
        </w:tc>
        <w:tc>
          <w:tcPr>
            <w:tcW w:w="2467" w:type="dxa"/>
            <w:vAlign w:val="top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200mg/m</w:t>
            </w:r>
            <w:r>
              <w:rPr>
                <w:rFonts w:hint="eastAsia" w:cstheme="minorBidi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4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氮氧化物</w:t>
            </w:r>
          </w:p>
        </w:tc>
        <w:tc>
          <w:tcPr>
            <w:tcW w:w="202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35.0128吨</w:t>
            </w:r>
          </w:p>
        </w:tc>
        <w:tc>
          <w:tcPr>
            <w:tcW w:w="2467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200mg/m</w:t>
            </w:r>
            <w:r>
              <w:rPr>
                <w:rFonts w:hint="eastAsia" w:cstheme="minorBidi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4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VOC</w:t>
            </w:r>
            <w:r>
              <w:rPr>
                <w:rFonts w:hint="eastAsia"/>
                <w:sz w:val="24"/>
                <w:szCs w:val="24"/>
                <w:vertAlign w:val="subscript"/>
                <w:lang w:val="en-US" w:eastAsia="zh-CN"/>
              </w:rPr>
              <w:t>S</w:t>
            </w:r>
          </w:p>
        </w:tc>
        <w:tc>
          <w:tcPr>
            <w:tcW w:w="202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19.435吨</w:t>
            </w:r>
          </w:p>
        </w:tc>
        <w:tc>
          <w:tcPr>
            <w:tcW w:w="2467" w:type="dxa"/>
            <w:vAlign w:val="top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80mg/m</w:t>
            </w:r>
            <w:r>
              <w:rPr>
                <w:rFonts w:hint="eastAsia" w:cstheme="minorBidi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危险废物产生及处理处置情况</w:t>
            </w:r>
          </w:p>
        </w:tc>
        <w:tc>
          <w:tcPr>
            <w:tcW w:w="224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202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年产生量</w:t>
            </w:r>
          </w:p>
        </w:tc>
        <w:tc>
          <w:tcPr>
            <w:tcW w:w="2467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处置去向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4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精馏残液</w:t>
            </w:r>
          </w:p>
        </w:tc>
        <w:tc>
          <w:tcPr>
            <w:tcW w:w="202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12吨</w:t>
            </w:r>
          </w:p>
        </w:tc>
        <w:tc>
          <w:tcPr>
            <w:tcW w:w="246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委托盐城市沿海固体废料处置有限公司处置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4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蒸馏残液</w:t>
            </w:r>
          </w:p>
        </w:tc>
        <w:tc>
          <w:tcPr>
            <w:tcW w:w="202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18.3吨</w:t>
            </w:r>
          </w:p>
        </w:tc>
        <w:tc>
          <w:tcPr>
            <w:tcW w:w="2467" w:type="dxa"/>
            <w:vMerge w:val="continue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4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蒸馏残渣</w:t>
            </w:r>
          </w:p>
        </w:tc>
        <w:tc>
          <w:tcPr>
            <w:tcW w:w="202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209.686吨</w:t>
            </w:r>
          </w:p>
        </w:tc>
        <w:tc>
          <w:tcPr>
            <w:tcW w:w="2467" w:type="dxa"/>
            <w:vMerge w:val="continue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4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废水处理污泥</w:t>
            </w:r>
          </w:p>
        </w:tc>
        <w:tc>
          <w:tcPr>
            <w:tcW w:w="202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260吨</w:t>
            </w:r>
          </w:p>
        </w:tc>
        <w:tc>
          <w:tcPr>
            <w:tcW w:w="2467" w:type="dxa"/>
            <w:vMerge w:val="continue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4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废弃包装物</w:t>
            </w:r>
          </w:p>
        </w:tc>
        <w:tc>
          <w:tcPr>
            <w:tcW w:w="202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10.02吨</w:t>
            </w:r>
          </w:p>
        </w:tc>
        <w:tc>
          <w:tcPr>
            <w:tcW w:w="2467" w:type="dxa"/>
            <w:vMerge w:val="continue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4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废有机物料</w:t>
            </w:r>
          </w:p>
        </w:tc>
        <w:tc>
          <w:tcPr>
            <w:tcW w:w="202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450吨</w:t>
            </w:r>
          </w:p>
        </w:tc>
        <w:tc>
          <w:tcPr>
            <w:tcW w:w="2467" w:type="dxa"/>
            <w:vMerge w:val="continue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依法落实环境风险防控措施情况</w:t>
            </w:r>
          </w:p>
        </w:tc>
        <w:tc>
          <w:tcPr>
            <w:tcW w:w="6739" w:type="dxa"/>
            <w:gridSpan w:val="3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公司已编制突发环境事件应急预案、危险废物意外事故应急预案，已完成备案，并按照预案开展演练；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公司已编制危险废物管理计划，并落实执行；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公司按照自行监测要求设置在线监测设施，并委托有资质单位进行检测，确保达标排放。</w:t>
            </w:r>
          </w:p>
        </w:tc>
      </w:tr>
    </w:tbl>
    <w:p>
      <w:pPr>
        <w:jc w:val="both"/>
        <w:rPr>
          <w:rFonts w:hint="eastAsia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92E96A"/>
    <w:multiLevelType w:val="singleLevel"/>
    <w:tmpl w:val="4B92E9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758DE"/>
    <w:rsid w:val="01967112"/>
    <w:rsid w:val="4DB52E79"/>
    <w:rsid w:val="7CB7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517</Characters>
  <Lines>0</Lines>
  <Paragraphs>0</Paragraphs>
  <TotalTime>26</TotalTime>
  <ScaleCrop>false</ScaleCrop>
  <LinksUpToDate>false</LinksUpToDate>
  <CharactersWithSpaces>518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2022-03-11T06:52:00Z</dcterms:created>
  <dc:creator>平安</dc:creator>
  <cp:lastModifiedBy>平安</cp:lastModifiedBy>
  <dcterms:modified xsi:type="dcterms:W3CDTF">2022-03-14T06:25:13Z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A05A7D4DE381401E8A660F578C6BC4D1</vt:lpwstr>
  </property>
</Properties>
</file>